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Кислякова Андрея Николаевича на нарушение его конституционных прав частью третьей статьи 722, пунктом 9 части первой статьи 83 и частью третьей статьи 157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А.Н.Кислякова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А.Н.Кисляков оспаривает конституционность следующих норм Трудового кодекса Российской Федерации: части третьей статьи 722, согласно которой 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2 замещения временно отсутствующего работника вызваны чрезвычайными обстоятельствами, указанными в части второй данной статьи; при этом перевод на работу, требующую более низкой квалификации, допускается только с письменного согласия работника; пункта 9 части первой статьи 83, предусматривающего прекращение трудового договора по такому обстоятельству, не зависящему от воли сторон, как 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части третьей статьи 157, в соответствии с которой время простоя по вине работника не оплачивается. По мнению заявителя, оспариваемые нормы, примененные в его деле судом, не соответствуют Конституции Российской Федерации, в частности ее статьям 7 и 37, поскольку позволяют работодателю не предпринимать действия по прекращению простоя и увольнять работника в связи с лишением специального права (права на ношение оружия)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Трудовому кодексу Российской Федерации временная приостановка работы по причинам экономического, технологического, технического или организационного характера рассматривается по общему правилу как простой, который предполагает начисление работнику взамен заработной платы, утраченной ввиду объективной невозможности 3 выполнения им возложенных на него трудовых (должностных) обязанностей, гарантийных выплат в размере не менее установленного законом (часть третья статьи 722, части первая и вторая статьи 157). Между тем в случае простоя по вине работника такие выплаты ему не производятся (часть третья статьи 157 этого Кодекса), что согласуется с основными принципами правового регулирования трудовых отношений и иных непосредственно связанных с ними отношений (статья 2 названного Кодекса) и направлено на обеспечение баланса интересов сторон трудового договора. Увольнение по основанию, предусмотренному пунктом 9 части первой статьи 83 Трудового кодекса Российской Федерации, обусловлено невозможностью исполнения трудовых обязанностей лицом, лишенным специального права, и не зависит от волеизъявления работодателя. Кроме того, частью второй статьи 83 Трудового кодекса Российской Федерации предусмотрена гарантия для лиц, увольняемых по указанному основанию: прекращение трудового договора с ними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Таким образом, оспариваемые нормы не могут расцениваться как нарушающие права работников. Оценка же действий (бездействия) работодателя, равно как и установление наличия простоя по вине заявителя, не относится к полномочиям Конституционного Суда Российской Федерации, определенным статьей 125 Конституции Российской Федерации и статьей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Кислякова Андрея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