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Игнатенко Елены Федоровны на нарушение ее конституционных прав пунктами 1 и 2 статьи 167 и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Е.Ф.Игнатенко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Е.Ф.Игнатенко оспаривает конституционность пунктов 1 и 2 статьи 167 «Общие положения о последствиях недействительности сделки» и пункта 1 статьи 302 «Истребование имущества от добросовестного приобретателя» ГК Российской Федерации. Как следует из представленных материалов, определением суда апелляционной инстанции заочное решение суда общей юрисдикции отменено в связи с рассмотрением дела без привлечения Е.Ф.Игнатенко к участию в качестве соответчика; удовлетворены исковые требования гражданки А. (наследник) к гражданину В. о признании недействительным 2 договора купли-продажи нежилого помещения, заключенного между В. (покупатель) и представителем по доверенности, действовавшим от имени наследодателя, умершего на момент заключения договора, и о применении последствий недействительности сделки путем признания недействительной (как производной от предыдущей ничтожной) сделкой договора о переходе права собственности на нежилое помещение от В. к Е.Ф.Игнатенко; в удовлетворении встречного искового требования Е.Ф.Игнатенко о признании ее добросовестным приобретателем нежилого помещения отказано.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также отказано. По мнению заявительницы, оспариваемые положения противоречат Конституции Российской Федерации, включая ее статьи 19 (часть 1), 35 (части 1 и 2) и 40 (часть 1), поскольку они по смыслу, придаваемому им правоприменительной практикой, допускают истребование по иску наследников недвижимого имущества от добросовестного лица, которое возмездно приобрело данное имущество у третьего лица, полагаясь на данные реестра единой информационной системы нотариата, и зарегистрировало возникшее у него право собственности, а также допускают признание сделки недействительной, как совершенной по доверенности, прекратившей действие вследствие смерти доверителя, когда наследники не предприняли своевременных мер по надлежащему оформлению права собственности на наследственное имущество.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167 ГК Российской Федерации во взаимосвязи с иными нормами гражданского законодательства развивают положение статьи 15 (часть 2) Конституции Российской Федерации об обязанности граждан и 3 их объединений соблюдать Конституцию Российской Федерации и служат целям защиты прав и законных интересов участников гражданского оборота (Определение Конституционного Суда Российской Федерации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Игнатенко Елены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