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Крысанова Максима Николаевича на нарушение его конституционных прав пунктами 1 и 4 статьи 421 Гражданского кодекса Российской Федерации, а также частью 1 статьи 4 и частью 1 статьи 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М.Н.Крысанова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М.Н.Крысанов оспаривает конституционность пунктов 1 и 4 статьи 421 «Свобода договора» ГК Российской Федерации, а также части 1 статьи 4 «Договор участия в долевом строительстве» и части 1 статьи 5 «Цена договора»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2 Как следует из представленных материалов, решением суда общей юрисдикции, оставленным без изменения определением суда апелляционной инстанции, М.Н.Крысанову в удовлетворении исковых требований о взыскании излишне выплаченных сумм по договору участия в долевом строительстве, неустойки, компенсации морального вреда, штрафа отказано. Суд апелляционной инстанции указал, что фактическая площадь объекта, упоминаемая в договоре, должна быть определена без учета перегородок.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17 (часть 3), 35 (части 1 и 2) и 40 (часть 1) Конституции Российской Федерации, поскольку они по смыслу, придаваемому им правоприменительной практикой, предоставляют застройщику право возлагать на участника долевого строительства бремя оплаты площади квартиры, предусмотренной для межкомнатных перегородок.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Крысанова Максима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