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3529-О/2023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коммерческого банка «Энергобанк» (акционерного общества) на нарушение его конституционных прав пунктами 3 и 4 статьи 137 и пунктом 1 статьи 138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коммерческого банка «Энергобанк» (акционерного общества)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гражданина Б., по заявлению финансового управляющего должника признана недействительной сделка по перечислению денежных средств в виде мораторных процентов в пользу акционерного коммерческого банка «Энергобанк» (акционерного общества) (далее также – банк); применены последствия недействительности сделки в виде взыскания с банка в конкурсную массу должника указанных денежных средств. Постановлением арбитражного апелляционного суда, оставленным без изменения постановлением суда кассационной инстанции, указанное определение в части применения последствий недействительности сделки 2 изменено; с банка в пользу должника взыскана та же денежная сумма, и на эту сумму восстановлено требование банка к должнику. Акционерный коммерческий банк «Энергобанк» (акционерное общество) оспаривает конституционность пунктов 3 и 4 статьи 137 «Требования кредиторов третьей очереди» и пункта 1 статьи 138 «Требования кредиторов по обязательствам, обеспеченным залогом имущества должника» Федерального закона от 26 октября 2002 года № 127- ФЗ «О несостоятельности (банкротстве)». По мнению заявителя, данные законоположения противоречат статьям 1 (часть 1), 6 (часть 2), 8 (часть 2), 19 (часть 1), 34 (часть 1) и 35 (части 1 и 3) Конституции Российской Федерации, поскольку по смыслу, придаваемому им правоприменительной практикой, позволяют безосновательно понижать очередность удовлетворения залоговых требований по мораторным процентам.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137 Федерального закона «О несостоятельности (банкротстве)», в частности, устанавливает, что требования кредиторов третьей очереди по возмещению убытков в форме упущенной выгоды, взысканию неустоек (штрафов, пеней) и иных финансовых санкций, в том числе за неисполнение или ненадлежащее исполнение обязанности по уплате обязательных платежей, учитываются отдельно в реестре требований кредиторов и подлежат удовлетворению после погашения основной суммы задолженности и причитающихся процентов (пункт 3); особенности учета и удовлетворения требований кредиторов третьей очереди по обязательствам, обеспеченным залогом имущества должника, определяются статьей 138 данного Федерального закона. Пункт 1 статьи 138 того же Федерального закона, в свою очередь, предусматривает, что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3 должника, но не более чем основная сумма задолженности по обеспеченному залогом обязательству и причитающихся процентов; денежные средства, оставшиеся от суммы, вырученной от реализации предмета залога, вносятся на специальный банковский счет должника в следующем порядке: двадцать процентов от суммы, вырученной от реализации предмета залога, – для погашения требований кредиторов первой и второй очереди в случае недостаточности иного имущества должника для погашения указанных требований; оставшиеся денежные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 Приведенные положения, направленные как на защиту имущественных интересов залоговых кредиторов лиц, имеющих преимущественное перед другими кредиторами право получить удовлетворение из стоимости заложенного имущества, так и на обеспечение баланса имущественных интересов залогового кредитора и иных кредиторов должника, не предполагают произвольного понижения очередности удовлетворения требований кредиторов по обязательствам, обеспеченным залогом имущества должника, и не могут расцениваться в качестве нарушающих конституционные права заявителя, в деле с участием которого судами было установлено, что выплата мораторных процентов банку являлась преждевременной и банку было оказано предпочтение при оплате задолженности по мораторным процентам, что привело к нарушению прав иных кредиторов должника. Установление же и оценка фактических обстоятельств, имеющих значение для разрешения конкретного дела, а также проверка правильности применения оспариваемых норм с учетом данных обстоятельств к компетенции Конституционного Суда Российской Федерации, предусмотренной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коммерческого банка «Энергобанк» (акционерного общества),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