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Горкиной Анастасии Александровны на нарушение ее конституционных прав пунктом 4 части 1 статьи 36, пунктом 2 части 2 статьи 44 и частью 1 статьи 135 Жилищного кодекса Российской Федерации, пунктами 6 и 9.2 Порядка установки ограждений на придомовых территориях в городе Москве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А.А.Горкиной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А.А.Горкина оспаривает конституционность следующих норм Жилищного кодекса Российской Федерации: пункта 4 части 1 статьи 36 об отнесении к общему имуществу в многоквартирном доме земельного участка, на котором расположен данный дом, с элементами озеленения и благоустройства, а также иных объектов, предназначенных для обслуживания, эксплуатации и благоустройства данного дома и расположенных на указанном земельном участке; пункта 2 части 2 статьи 44, согласно которому к компетенции общего собрания собственников помещений в многоквартирном доме относится, 2 помимо прочего, принятие решений о пределах использования земельного участка, на котором расположен многоквартирный дом; части 1 статьи 135, закрепляющей определение понятия товарищества собственников жилья. Заявительница также усматривает нарушение своих конституционных прав положениями Порядка установки ограждений на придомовых территориях в городе Москве (утверждено постановлением Правительства Москвы от 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Горкиной Анастасии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