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Мкртчяна Павла Паргевовича на нарушение его конституционных прав пунктом 3 части 1 статьи 29 и частью 10 статьи 40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П.П.Мкртчяна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П.П.Мкртчян оспаривает конституционность следующих положений Федерального закона от 13 июля 2015 года № 218-ФЗ «О государственной регистрации недвижимости»: пункта 3 части 1 статьи 29 о проведении правовой экспертизы документов, представленных для осуществления государственного кадастрового учета и (или) государственной регистрации прав; части 10 статьи 40, предусматривающей, в частности, что государственный кадастровый учет и государственная регистрация прав на объект незавершенного строительства осуществляются на основании 2 разрешения на строительство такого объекта и правоустанавливающего документа на земельный участок, на котором расположен такой объект недвижимости. Как следует из представленных материалов, П.П.Мкртчян, заключив в 2018 году договоры аренды на 49 лет в отношении земельных участков, относящихся к публичной собственности и предназначенных для комплексной застройки многоквартирными домами, обратился (через своего представителя) в уполномоченный государственный орган с заявлением о государственной регистрации права собственности на объект незавершенного строительства (фундамент многоквартирного дома), расположенный в границах земельных участков, приложив при этом разрешение на его строительство, выданное в 2011 году, но получил отказ, поскольку срок действия данного документа истек в 2013 году. Решением суда общей юрисдикции, с которым согласились суды вышестоящих инстанций, указанный отказ признан правомерным. По мнению заявителя, ссылающего на невозможность продления ранее выданного ему разрешения на строительство 17-этажного дома, поскольку действующий градостроительный регламент для арендуемых земельных участков такого параметра этажности зданий уже не предусматривает, оспариваемые положения противоречат Конституции Российской Федерации, ее статьям 17 (часть 3) и 35, поскольку они по смыслу, придаваемому им правоприменительной практикой, позволяют произвольно лишать граждан права реализовать правомочия собственника на объект незавершенного строительства, препятствуя государственной регистрации права собственности на данный объект.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Нормативное регулирование, касающееся государственной регистрации недвижимости, принято законодателем в том числе в целях обеспечения правовой определенности в сфере оборота недвижимого 3 имущества, направлено на создание необходимых гарантий законности и стабильности в этой сфере, судебной защиты прав участников соответствующих правоотношений, а также способствует ведению имеющего публичный характер Единого государственного реестра недвижимости на основе принципов непротиворечивости и достоверности содержащихся в нем сведений (Определение Конституционного Суда Российской Федерации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Мкртчяна Павла Паргевовича,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