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Самарцева Алексея Анатольевича на нарушение его конституционных прав статьями 388 и 3881 Гражданского кодекса Российской Федерации, статьями 101, 106, 110 и 112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А.А.Самарцева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А.А.Самарцев, которому отказано во взыскании расходов на оплату услуг представителя, оспаривает конституционность статей 388 «Условия уступки требования» и 3881 «Уступка будущего требования» ГК Российской Федерации, статей 101 «Состав судебных расходов», 106 «Судебные издержки», 110 «Распределение судебных расходов между лицами, участвующими в деле» и 112 «Разрешение вопросов о судебных расходах» АПК Российской Федерации. По мнению заявителя, оспариваемые положения не соответствуют статьям 17, 19, 35, 45, 46, 47 и 55 Конституции Российской Федерации в той 2 мере, в какой по смыслу, придаваемому им правоприменительной практикой, служат основанием для отказа во взыскании уступленных как право требования расходов на оплату услуг представителя.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388 ГК Российской Федерации направлены на обеспечение справедливого баланса интересов цедента, цессионария и должника в обязательстве, на поддержание стабильности гражданского оборота и упорядоченности обязательственных правоотношений (определения Конституционного Суда Российской Федерации от 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Самарцева Алексея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