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Л. на нарушение ее конституционных прав рядом положений Гражданского процессуального кодекса Российской Федерации и частью 4 статьи 22 Федерального закона «Об основах охраны здоровья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 оспаривает конституционность части второй статьи 12 «Осуществление правосудия на основе состязательности и равноправия сторон», пункта 3 части первой статьи 16 «Основания для отвода судьи», статьи 181 «Исследование письменных доказательств», части второй статьи 195 «Законность и обоснованность решения суда», части третьей статьи 196 «Вопросы, разрешаемые при принятии решения суда», пунктов 1 и 2 части четвертой статьи 198 «Содержание решения суда», части третьей статьи 327 «Порядок рассмотрения дела судом апелляционной инстанции», пункта 5 части второй статьи 329 «Постановление суда апелляционной инстанции» ГПК Российской Федерации, а также части 4 статьи 22 «Информация о состоянии здоровья» Федерального закона от 21 ноября 2011 года № 323-ФЗ «Об основах охраны здоровья граждан Российской Федерации». 2 Решением суда общей юрисдикции, оставленным без изменения судами апелляционной и кассационной инстанций, отказано в удовлетворении иска Л. к медицинской организации, оказывающей психиатрическую помощь, о признании нарушения ее права на ознакомление с информацией о состоянии ее здоровья в доступной для нее форме и о признании недействительным медицинского документа. Суды указали, что в ответ на обращение истца о том, что рукописный медицинский документ не поддается прочтению, ему в предусмотренный законом срок были предоставлены соответствующие разъяснения в печатном виде, что нарушений порядка оказания истцу медицинской помощи не было и что законодательством не установлены каллиграфические требования, а также требования к форме (рукописной или печатной) ведения записей в карте стационарного больного.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По мнению Л., оспариваемые положения не соответствуют статьям 18, 19 (части 1 и 2), 21 (часть 1), 45, 46 (часть 1), 50 (часть 2) и 120 (часть 1) Конституции Российской Федерации, поскольку: часть вторая статьи 12, статья 181, часть вторая статьи 195, часть третья статьи 327 и пункт 5 части второй статьи 329 ГПК Российской Федерации дают возможность судам первой и апелляционной инстанций не оглашать в судебных заседаниях текст оспариваемого истцом медицинского документа, отказывать в удовлетворении ходатайства истца о его оглашении и признавать в решении и апелляционном определении, что права истца не нарушены медицинским документом, не оглашенным в судебном заседании; пункт 3 части первой статьи 16 этого же Кодекса позволяет судье участвовать в рассмотрении гражданского дела и выносить апелляционное определение при условии, что им дано указание ответчику по делу изготовить доказательство – печатный вариант оспариваемого истцом медицинского документа, проверить достоверность которого суд, не ознакомившись с рукописным вариантом, не имеет возможности; 3 часть третья статьи 196 названного Кодекса допускает суду принимать решение не по заявленным истцом требованиям, а по требованиям, произвольно и немотивированно определенным самим судом; пункты 1 и 2 части четвертой статьи 198 того же Кодекса позволяют суду при принятии решения выходить за пределы предмета иска и устанавливать в решении суда факт наличия у истца психического заболевания, а также делать вывод о том, что ответчиком не допущены нарушения при оказании психиатрической помощи, на основании одних лишь утверждений ответчика, в отсутствие психиатрического освидетельствования в соответствии со статьей 23 Закона Российской Федерации от 2 июля 1992 года № 3185-I «О психиатрической помощи и гарантиях прав граждан при ее оказании»; часть 4 статьи 22 Федерального закона «Об основах охраны здоровья граждан Российской Федерации» по смыслу, приданному ей в конкретном деле, предполагает отсутствие обязанности медицинской организации составлять и предоставлять гражданину в доступной для него форме информацию о состоянии его здоровья, имеющуюся в этой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заявительница приводит доводы о рассмотрении ее конкретного дела небеспристрастным судом, о выходе суда за пределы заявленных в этом деле требований и другие доводы, свидетельствующие о том, что, формально оспаривая конституционность перечисленных в жалобе норм, она фактически просит Конституционный Суд Российской Федерации проверить соблюдение судами в конкретном деле норм материального и процессуального права. Между тем такая проверка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