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«Металлпром» на нарушение его конституционных прав абзацем вторым пункта 6 статьи 367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«Металлпром»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«Металлпром» (далее также – АО «Металлпром») оспаривает конституционность абзаца второго пункта 6 статьи 367 ГК Российской Федерации, предусматривающего, что 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 Как следует из представленных материалов, постановлением суда апелляционной инстанции отменено решение арбитражного суда, принятое после направления дела на новое рассмотрение судом кассационной 2 инстанции, и по требованию залогодержателя обращено взыскание на недвижимое имущество, заложенное АО «Металлпром» по договору об ипотеке в обеспечение исполнения обязательств общества с ограниченной ответственностью, признанного впоследствии банкротом. Суд апелляционной инстанции указал, что срок действия договора об ипотеке сторонами не установлен и что залогодержатель потребовал обратить взыскание на предмет залога в пределах годичного срока, исчисляемого со дня наступления срока исполнения основного обязательства, определенного в договоре между ним и должником по основному обязательству. Суд, сославшись в том числе на содержащиеся в постановлении Пленума Верховного Суда Российской Федерации от 24 декабря 2020 года № 45 «О некоторых вопросах разрешения споров о поручительстве» разъяснения, подчеркнул, что признание должника банкротом не сокращает срока существования залога. В передаче кассационной жалобы на названное постановление суда апелляционной инстанции и постановление суда кассационной инстанции, которым оно оставлено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оспариваемое положение противоречит статьям 34 (часть 1), 35 (части 1 и 2) и 46 (часть 1) Конституции Российской Федерации, поскольку по смыслу, придаваемом ему в пункте 44 постановления Пленума Верховного Суда Российской Федерации «О некоторых вопросах разрешения споров о поручительстве», оно не позволяет исчислять годичный срок для предъявления требования к поручителю (и, соответственно, залогодателю, не являющемуся должником по основному обязательству) с даты открытия конкурсного производства в отношении должника по основному обязательству. АО «Металлпром» исходит из того, что абзацем вторым пункта 6 статьи 367 ГК Российской Федерации не охватывается ситуация, в которой срок исполнения основного обязательства в силу закона считается наступившим ранее, чем предусмотрено условиями этого обязательства, и что Пленумом Верховного Суда Российской 3 Федерации создана новая норма. В жалобе также указано, что оспариваемая норма в названном истолковании противоречит пункту 1 статьи 126 Федерального закона от 26 октября 2002 года № 127-ФЗ «О несостоятельности (банкротстве)».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Производность и зависимость залогового правоотношения от основного обязательства, обусловленные назначением залога – обеспечивать исполнение основного обязательства в соответствии с принципом равенства и согласования воли сторон, свидетельствуют о том, что обеспечение исполнения основного обязательства на первоначально согласованных с залогодателем условиях – при изменении условий исполнения основного обязательства (в частности, срока его исполнения) – само по себе не может сделать его существенно более обременительным для залогодателя, чем изначально принятое им на себя обязательство, предполагающее возможность наступления неблагоприятных для него последствий в случае неисполнения основного обязательства должником (Определение Конституционного Суда Российской Федерации от 28 июня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«Металлпром»,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