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Тихомирова Сергея Николаевича на нарушение его конституционных прав статьей 331 Гражданского процессуального кодекса Российской Федерации и частью 6 статьи 2271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С.Н.Тихомирова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С.Н.Тихомиров оспаривает конституционность статьи 331 «Переход к рассмотрению дела по правилам административного судопроизводства» ГПК Российской Федерации, а также части 6 статьи 2271 КАС Российской Федерации, предусматривающей, что, если в административном исковом заявлении содержится требование о возмещении вреда, причиненного нарушением условий содержания под стражей, содержания в исправительном учреждении имуществу и (или) здоровью административного истца, суд принимает решение о переходе к 2 рассмотрению этого требования по правилам гражданского судопроизводства в соответствии со статьей 161 данного Кодекса. Из представленных материалов следует, что вступившим в законную силу решением районного суда от 8 июля 2022 года С.Н.Тихомирову, отбывающему по приговору суда наказание в виде пожизненного лишения свободы, в порядке административного судопроизводства было отказано в удовлетворении требования о взыскании компенсации морального вреда, причиненного ему в связи с бездействием сотрудников следственного изолятора, повлекшим за собой невозможность установления лиц, которые нанесли ему телесные повреждения, выявленные фельдшером данного учреждения при его медицинском осмотре в декабре 2004 года. Суд указал, что административный истец фактически оспаривает бездействие должностных лиц следственного изолятора, допущенное в 2004 году, а обращение в суд по истечении длительного времени (20 января 2022 года) с момента причинения вреда привело к невозможности исследования судом письменных доказательств, которые были уничтожены в связи с истечением сроков их хранения. Отклоняя доводы заявителя о неправомерности рассмотрения требований о компенсации морального вреда в порядке административного судопроизводства, суды вышестоящих инстанций отметили, что данное обстоятельство не является основанием для отмены обжалуемого судебного акта, поскольку имеющие значение для разрешения дела обстоятельства установлены, при этом не допущено существенных нарушений норм материального и процессуального права. По мнению заявителя, оспариваемые нормы не соответствуют статьям 46 (часть 1), 52 и 53 Конституции Российской Федерации, поскольку по смыслу, придаваемому им правоприменительной практикой, позволяют в порядке административного судопроизводства рассматривать исковое заявление о возмещении морального вреда, возникшего в связи с нарушением условий содержания под стражей, и отказывать в удовлетворении таких требований на основании пропуска сокращенных (по сравнению с гражданским судопроизводством) сроков обращения в суд.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Тихомирова Сергея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