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Нечитайловой Наталии Владимировны на нарушение ее конституционных прав подпунктом «а» пункта 6 части первой статьи 81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Н.В.Нечитайловой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Н.В.Нечитайлова оспаривает конституционность подпункта «а» пункта 6 части первой статьи 81 Трудового кодекса Российской Федерации, согласно которому трудовой договор может быть расторгнут работодателем в случае однократного грубого нарушения работником трудовых обязанностей – прогула, т.е. отсутствия на рабочем месте без уважительных причин в течение всего рабочего дня (смены), независимо от его (ее) продолжительности, а также в случае отсутствия на рабочем месте без уважительных причин более четырех часов подряд в течение рабочего дня (смены). 2 По мнению заявительницы, уволенной с работы по основанию, предусмотренному подпунктом «а» пункта 6 части первой статьи 81 Трудового кодекса Российской Федерации, оспариваемая норма не соответствует положениям статей 80 и 90 Конституции Российской Федерации, поскольку по смыслу, придаваемому ей правоприменительной практикой в системе действующего правового регулирования, предоставляет работодателю право не применять Указ Президента Российской Федерации от 20 октября 2021 года № 595 «Об установлении на территории Российской Федерации нерабочих дней в октябре – ноябре 2021 г.».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Нечитайловой Наталии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