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Голубя Тараса Юрьевича на нарушение его конституционных прав частью 2 статьи 286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Т.Ю.Голубя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Т.Ю.Голубь оспаривает конституционность части 2 статьи 286 «Право на обращение в суд с административным исковым заявлением о взыскании обязательных платежей и санкций» КАС Российской Федерации. Из представленных материалов следует, что вступившим в законную силу решением районного суда, с которым согласились вышестоящие суды, удовлетворено административное исковое заявление налогового органа о взыскании с Т.Ю.Голубя недоимки по налогу на доходы физических лиц. При этом суд первой инстанции исходил из обоснованности ходатайства налогового органа о восстановлении пропущенного им срока предъявления указанного 2 требования ввиду уважительности причин, обусловивших пропуск срока (несвоевременное получение налоговым органом копии определения об отмене судебного приказа о взыскании задолженности). По мнению Т.Ю.Голубя, оспариваемое законоположение не соответствует Конституции Российской Федерации, в частности ее статье 19 (часть 1), поскольку допускает произвольное восстановление судом пропущенного налоговым органом срока судебного взыскания налоговой задолженности в ситуации, когда, как полагает заявитель, причины такого пропуска не являлись уважительными.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Голубя Тараса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