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Медведева Виктора Владимировича на нарушение его конституционных прав пунктом 1 статьи 152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В.В.Медведева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В.В.Медведев оспаривает конституционность пункта 1 статьи 152 ГК Российской Федерации, в соответствии с которым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Как следует из представленных материалов, решением суда общей юрисдикции, оставленным без изменения определением суда апелляционной инстанции, исковые требования В.В.Медведева удовлетворены в части признания не соответствующими действительности, порочащими честь и достоинство сведений, содержащихся в характеристике на заявителя, 2 представленной участковым уполномоченным отдела полиции в материалы уголовного дела, в части указания сведений об осуждении на основании приговора суда по части второй статьи 228 УК Российской Федерации к четырем годам лишения свободы в исправительной колонии строгого режима; с Российской Федерации в лице Министерства внутренних дел Российской Федерации за счет казны Российской Федерации в пользу В.В.Медведева взыскана компенсация морального вреда в размере 5 000 руб.; в остальной части в удовлетворении исковых требований отказано.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заседании Судебной коллегии по гражданским делам Верховного Суда Российской Федерации. По мнению заявителя, пункт 1 статьи 152 ГК Российской Федерации противоречит статьям 23 (часть 1), 46 и 56 (часть 3) Конституции Российской Федерации, а также статье 10 «Свобода выражения мнения» Конвенции о защите прав человека и основных свобод, поскольку по смыслу, придаваемому ему правоприменительной практикой, позволяет рассматривать сведения, содержащиеся в данной должностным лицом характеристике, как не являющиеся предметом спора, а также лишает права защищать честь, достоинство и деловую репутацию, которые нарушены указанными сведениями, в судебном порядке.</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пункта 1 статьи 152 ГК Российской Федерации о праве гражданина требовать по суду опровержения порочащих его честь, достоинство и деловую репутацию сведений, если распространивший такие сведения не докажет, что они соответствуют действительности, определяя порядок реализации конституционного права на защиту чести и доброго 3 имени (статья 23, часть 1, Конституции Российской Федерации), направлены на осуществление конституционной обязанности государства охранять достоинство личности (статья 21, часть 1, Конституции Российской Федерации) как необходимую предпосылку и основу всех других неотчуждаемых прав и свобод человека, условие их признания и соблюдения. Применяя общее правовое предписание к конкретным обстоятельствам дела, судья принимает решение в пределах предоставленной ему законом свободы усмотрения, что не может рассматриваться как нарушение каких- либо конституционных прав и свобод граждан (определения Конституционного Суда Российской Федерации от 20 ноября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Медведева Виктора Владимировича,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