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Чугурова Александра Вячеславовича на нарушение его конституционных прав подпунктом «ж» пункта 161 и абзацем вторым пункта 19 статьи 12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А.В.Чугурова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А.В.Чугуров оспаривает конституционность подпункта «ж» пункта 161 и абзаца второго пункта 19 статьи 12 «Порядок осуществления страхового возмещения причиненного потерпевшему вреда» Федерального закона от 25 апреля 2002 года № 40-ФЗ «Об обязательном страховании гражданской ответственности владельцев транспортных средств». Как следует из представленных материалов, в результате дорожно- транспортного происшествия транспортному средству, принадлежащему заявителю, причинены механические повреждения. А.В.Чугуров обратился к страховщику с заявлением о выплате страхового возмещения, однако 2 последний не перечислил его в установленный законом срок. Решением суда общей юрисдикции со страховщика взыскана страховая выплата, ее размер определен с учетом износа комплектующих изделий, подлежащих замене. Впоследствии А.В.Чугуров вновь обратился с иском к страховщику, в котором помимо прочего просил о доплате страхового возмещения в размере разницы между стоимостью восстановительного ремонта без учета износа и ранее выплаченной ему суммой, обосновывая свое требование тем, что ответчик не исполнил надлежащим образом обязанность по организации ремонта транспортного средства. Апелляционным определением, с которым согласились суды вышестоящих инстанций, в его удовлетворении отказано. По мнению заявителя, оспариваемые положения противоречат статьям 35 (часть 1) и 46 (часть 1) Конституции Российской Федерации, поскольку содержат неопределенность относительно того, вправе ли потерпевший после взыскания страховой выплаты с учетом износа подлежащих замене комплектующих изделий потребовать от страховщика в отдельном процессе доплаты страхового возмещения в размере, соответствующем разнице между стоимостью ремонта без учета указанного износа и полученной ранее суммой страховой выплаты, и может ли отметка в заявлении о наступлении страхового события о согласии на страховую выплату при указанных в жалобе обстоятельствах рассматриваться в качестве соглашения о замене формы страхового возмещения.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Чугурова Александра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