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2546-О/2023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Мирошникова Аркадия Владимировича на нарушение его конституционных прав частями третьей и четвертой статьи 193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А.В.Мирошникова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А.В.Мирошников оспаривает конституционность следующих положений статьи 193 Трудового кодекса Российской Федерации: части третьей, согласно которой 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отпуске, а также времени, необходимого на учет мнения представительного органа работников; части четвертой, закрепляющей, что дисциплинарное взыскание, за исключением дисциплинарного взыскания за несоблюдение ограничений и 2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– позднее двух лет со дня его совершения; дисциплинарное взыскание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трех лет со дня совершения проступка; в указанные сроки не включается время производства по уголовному делу. Как следует из материалов жалобы, заявитель был уволен по подпункту «в» пункта 6 части первой статьи 81 Трудового кодекса Российской Федерации (разглашение охраняемой законом тайны, ставшей известной работнику в связи с исполнением им трудовых обязанностей) на основании вступившего в законную силу приговора суда, которым он был признан виновным в совершении преступления, предусмотренного частью первой статьи 283 «Разглашение государственной тайны» УК Российской Федерации. Нарушение своих прав А.В.Мирошников усматривает в том, что оспариваемые положения по смыслу, приданному им судами в конкретном деле о восстановлении на работе, признании незаконным приказа о применении дисциплинарного взыскания и компенсации морального вреда, позволяют: исчислять месячный срок применения дисциплинарного взыскания в виде увольнения за разглашение охраняемой законом тайны не с момента, когда непосредственному руководителю работника стало известно о совершении дисциплинарного проступка, а с момента получения работодателем копии приговора; не признавать пропуск работодателем шестимесячного срока применения дисциплинарного взыскания со дня совершения дисциплинарного проступка; считать необходимым для установления факта совершения работником дисциплинарного проступка, выразившегося в разглашении государственной тайны, наличие экспертного 3 заключения об отнесении разглашенных сведений к государственной тайне, а потому не соответствуют статьям 15 (часть 1), 17 (часть 3), 37 (часть 1) и 46 (части 1 и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Мирошникова Аркадия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