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Союза субподрядчиков строительных работ на нарушение его конституционных прав абзацем третьим пункта 2 Положения о федеральном государственном надзоре за деятельностью саморегулируемых организаций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Союза субподрядчиков строительных работ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Союз субподрядчиков строительных работ оспаривает конституционность абзаца третьего пункта 2 Положения о федеральном государственном надзоре за деятельностью саморегулируемых организаций (утверждено Постановлением Правительства Российской Федерации от 22 ноября 2012 года № 1202), согласно которому федеральный государственный надзор осуществляется Федеральной службой по экологическому, технологическому и атомному надзору – в отношении саморегулируемых организаций в области инженерных изысканий, архитектурно-строительного 2 проектирования, строительства, реконструкции и капитального ремонта объектов капитального строительства, энергетического обследования. Как следует из представленных материалов, решением Федеральной службы государственной регистрации кадастра и картографии Союзу субподрядчиков строительных работ было отказано во включении в реестр саморегулируемых организаций, в отношении которых не определен уполномоченный федеральный орган исполнительной власти, осуществляющий функции по федеральному государственному надзору за их деятельностью. Отказывая в удовлетворении требований заявителя о признании данного решения незаконным, арбитражные суды со ссылкой на оспариваемое Союзом субподрядчиков строительных работ положение отметили, что ведение реестра саморегулируемых организаций в области инженерных изысканий, архитектурно-строительного проектирования, строительства, реконструкции и капитального ремонта объектов капитального строительства возложено на федеральный орган исполнительной власти, осуществляющий функции по федеральному государственному надзору за деятельностью саморегулируемых организаций в данной сфере, т.е. на Федеральную службу по экологическому, технологическому и атомному надзору (решение Арбитражного суда города Москвы от 22 февраля 2022 года, с которым согласились вышестоящие суды). По мнению Союза субподрядчиков строительных работ, оспариваемое нормативное положение не соответствует статьям 8 и 34 Конституции Российской Федерации, поскольку препятствует получению статуса саморегулируемой организации в области строительства на основании Федерального закона от 1 декабря 2007 года № 315-ФЗ «О саморегулируемых организациях».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Союза субподрядчиков строительных работ,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