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1303-О/2024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«Стандарт РесКом» на нарушение его конституционных прав статьей 42 Федерального закона «Устав автомобильного транспорта и городского наземного электрического транспорта»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«Стандарт РесКом»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«Стандарт РесКом» (далее – общество) оспаривает конституционность статьи 42 Федерального закона от 8 ноября 2007 года № 259-ФЗ «Устав автомобильного транспорта и городского наземного электрического транспорта», в соответствии с которой срок исковой давности по требованиям, вытекающим из договоров перевозок, договоров фрахтования, составляет один год; указанный срок исчисляется со дня наступления события, послужившего основанием для предъявления претензии или иска, в том числе в отношении: возмещения ущерба, причиненного недостачей, повреждением (порчей) багажа, груза, со дня 2 выдачи багажа, груза; возмещения ущерба, причиненного утратой багажа, со дня признания багажа утраченным; возмещения ущерба, причиненного утратой груза, со дня признания груза утраченным; просрочки доставки багажа, груза со дня выдачи багажа, груза. Как следует из представленных материалов, решением арбитражного суда, с которым согласились вышестоящие суды, отказано в удовлетворении иска общества к коммерческой организации о взыскании задолженности по договорам и процентов за пользование чужими денежными средствами. Суд исходил из пропуска истцом срока исковой давности по требованиям, вытекающим из перевозки груза. По мнению общества, оспариваемая норма противоречит статье 19 (часть 2) Конституции Российской Федерации, поскольку не позволяет взыскать задолженность за услуги по перевозке груза в пределах общего трехлетнего срока исковой давности, чем нарушает равенство прав участников гражданских правоотношений, устанавливая сокращенный срок исковой давности в зависимости от вида осуществляемой хозяйственной деятельности. Кроме того, общество просит отменить правоприменительные решения по делу с его участием.</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Гражданскому кодексу Российской Федерации общий срок исковой давности составляет три года, но для отдельных видов требований законом могут устанавливаться специальные сроки (статьи 196 и 197). Установление в законе срока исковой давности (т.е. срока для защиты интересов лица, право которого нарушено), а также последствий его пропуска обусловлено необходимостью обеспечить стабильность гражданского оборота и не может рассматриваться как нарушающее какие-либо конституционные права (определения Конституционного Суда Российской Федерации от 25 февраля 2010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«Стандарт РесКом», поскольку она не отвечает требованиям Федерального конституционного закона «О 4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