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Заславского Алексея Аркадьевича на нарушение его конституционных прав частью 1 статьи 158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А.А.Заславского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А.А.Заславский оспаривает конституционность части 1 статьи 158 «Расходы собственников помещений в многоквартирном доме» Жилищного кодекса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исковые требования А.А.Заславского – собственника гаражного бокса, расположенного в подземном паркинге многоквартирного дома, – о признании недействительным решения общего собрания по вопросу об утверждении сметы доходов и расходов товарищества собственников жилья оставлены без удовлетворения. В передаче кассационной жалобы на эти 2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отказано. По мнению заявителя, часть 1 статьи 158 Жилищного кодекса Российской Федерации противоречит статьям 19 и 35 (часть 1) Конституции Российской Федерации, поскольку она по смыслу, придаваемому ей правоприменительной практикой, позволяет обязать собственника помещения в многоквартирном доме участвовать в расходах на содержание общего имущества соразмерно своей доле в праве общей собственности на это имущество без учета различий технических характеристик этих помещений.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Заславского Алексея Аркадьевича,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