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«Фотон» на нарушение его конституционных прав частями 3 и 4 статьи 100 Лесного кодекса Российской Федерации, Постановлением Правительства Российской Федерации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«Фотон»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«Фотон» оспаривает конституционность следующих положений статьи 100 Лесного кодекса Российской Федерации: части 3 об определении размера возмещения вреда, причиненного лесам как экологической системе, исходя из присущих лесам природных свойств в порядке, предусмотренном Федеральным законом от 10 января 2002 года № 7-ФЗ «Об охране окружающей среды»; 2 части 4, согласно которой особенности возмещения вреда, включая таксы и методики определения размера возмещения такого вреда, утверждаются Правительством Российской Федерации. Заявитель также связывает нарушение своих конституционных прав с Постановлением Правительства Российской Федерации от 29 декабря 2018 года № 1730 «Об утверждении особенностей возмещения вреда, причиненного лесам и находящимся в них природным объектам вследствие нарушения лесного законодательства». Из представленных материалов следует, что решением арбитражного суда, оставленным без изменения судами кассационной инстанции, с названного общества взыскан вред, причиненный вследствие нарушения лесного законодательства. Согласно выводу судов, общество, будучи арендатором лесного участка, нарушило условия, изложенные в договоре аренды и проекте освоения лесов (превысило в 2019 году разрешенный объем заготовки древесины при рубке спелых и перестойных насаждений по твердолиственному хозяйству). По мнению общества, оспариваемые нормы и правовой акт не соответствуют Конституции Российской Федерации, в том числе положениям ее статей 17, 19, 34, 35, 50 и 55, в той мере, в какой они по смыслу, придаваемому им правоприменительной практикой, позволяют Правительству Российской Федерации устанавливать повышающие коэффициенты кратности при исчислении размера вреда, подлежащего взысканию без учета затрат арендаторов лесных участков, произведенных в целях лесовосстановления, и тем самым возлагают на них двойную ответственность за одно и то же деяние.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Лесной кодекс Российской Федерации (статья 100) и Федеральный закон «Об охране окружающей среды» (статьи 77 и 78) предусматривают, что вред окружающей среде возмещается в соответствии с утвержденными в 3 установленном порядке таксами и методиками исчисления его размера. Таксы и методики исчисления размера вреда, причиненного лесам вследствие нарушения лесного законодательства, утверждаются Правительством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«Фотон»,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