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«Пакер Сервис» на нарушение его конституционных прав пунктом 1 части 7, частью 8 статьи 2916 и пунктом 5 статьи 2918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«Пакер 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«Пакер Сервис» (далее также – ООО «Пакер Сервис») оспаривает конституционность пункта 1 части 7, части 8 статьи 2916 «Рассмотрение кассационных жалобы, представления в Судебной коллегии Верховного Суда Российской Федерации» и пункта 5 статьи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 АПК Российской Федерации. Как следует из представленных материалов, постановлением арбитражного суда кассационной инстанции отменены принятые по делу с 2 участием ООО «Пакер Сервис» акты арбитражных судов первой и апелляционной инстанций, дело направлено на новое рассмотрение в арбитражный суд первой инстанции.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ООО «Пакер Сервис»,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15 (части 1 и 2), 17, 18, 19 (части 1 и 2), 46 (часть 1), 52, 55, 118, 120 и 123 (часть 3) Конституции Российской Федерации, поскольку допускают возможность немотивированного отказа в передаче кассационный жалобы для рассмотрения в судебном заседании Судебной коллегии по экономическим спорам Верховного Суда Российской Федерации при наличии нарушений норм материального права и процессуального права, допущенных, как полагает заявитель, арбитражным судом кассационной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«Пакер 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