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2524-О/2023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Желудько Олега Анатольевича на нарушение его конституционных прав рядом норм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О.А.Желудько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О.А.Желудько оспаривает конституционность положений статей 2 «Основные принципы правового регулирования трудовых отношений и иных непосредственно связанных с ними отношений», 15 «Трудовые отношения», 21 «Основные права и обязанности работника», 22 «Основные права и обязанности работодателя», 56 «Понятие трудового договора. Стороны трудового договора», 129 «Основные понятия и определения», 130 «Основные государственные гарантии по оплате труда работников», 133 «Установление минимального размера оплаты труда», 1331 «Установление размера минимальной заработной платы в субъекте Российской Федерации», 136 «Порядок, место и сроки выплаты заработной платы», 140 «Сроки расчета при 2 увольнении» и 236 «Материальная ответственность работодателя за задержку выплаты заработной платы и других выплат, причитающихся работнику» Трудового кодекса Российской Федерации. По мнению заявителя, оспариваемые нормы противоречат Конституции Российской Федерации, в частности ее статьям 2, 18, 19, 37 (части 1–3), 45, 46 (часть 1) и 123 (часть 3), поскольку позволяют судам отказывать работнику в удовлетворении его требования о взыскании задолженности по заработной плате в связи с ее неначислением работодателем, а также в связи с отсутствием указания в названных нормах на длящийся характер нарушения, связанного с невыплатой заработной платы. О.А.Желудько также ходатайствует о восстановлении пропущенного срока для обращения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28 апреля 2022 года Статья 140 Трудового кодекса Российской Федерации устанавливает обязанность работодателя выплатить увольняемому работнику все причитающиеся денежные суммы в предусмотренные в ней сроки и направлена на защиту прав увольняемых работников. Статья 236 этого же Кодекса, устанавливая материальную ответственность работодателя за задержку выплаты заработной платы и других выплат, причитающихся работнику, направлена на обеспечение защиты трудовых прав работников, нарушенных задержкой выплаты заработной платы. Таким образом, данные нормы Трудового кодекса Российской Федерации не могут рассматриваться как нарушающие права заявителя, в деле которого суд взыскал с работодателя компенсацию за неиспользованный отпуск за все 4 время работы, а также компенсацию за задержку ее выплаты в соответствии с требованиями статьи 236 названного Кодекса.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Желудько Олега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