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1309-О/2024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«Научно-производственное объединение «Эшелон» на нарушение его конституционных прав отдельными положениями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«Научно-производственное объединение «Эшелон»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«Научно-производственное объединение «Эшелон» (далее также – акционерное общество, АО «НПО «Эшелон») оспаривает конституционность подпункта 3 статьи 1103 ГК Российской Федерации, согласно которому, поскольку иное не установлено данным Кодексом, другими законами или иными правовыми актами и не вытекает из существа соответствующих отношений, правила, предусмотренные главой 60 «Обязательства вследствие неосновательного обогащения» того же Кодекса, подлежат применению также к требованиям одной стороны в обязательстве к другой о возврате исполненного в связи с этим обязательством. Кроме того, заявитель ставит под сомнение конституционность подпункта 1 статьи 1109 2 ГК Российской Федерации, закрепляющего, что не подлежит возврату в качестве неосновательного обогащения имущество, переданное во исполнение обязательства до наступления срока исполнения, если обязательством не предусмотрено иное. Как следует из представленных материалов, решением арбитражного суда, с которым согласились суды вышестоящих инстанций, удовлетворен иск участника кооперации исполнителей государственного оборонного заказа к АО «НПО «Эшелон» о расторжении заключенных в рамках выполнения указанного заказа договоров на выполнение работ по проведению сертификационных испытаний и о взыскании неосновательного обогащения. По мнению заявителя, оспариваемые нормы противоречат статьям 8, 15 и 35 Конституции Российской Федерации, поскольку распространяют свое действие на правоотношения, связанные с расторжением исполненных договоров, и препятствуют распоряжению полученным по договору имуществом по отработанным авансам. В качестве оспариваемой нормы в жалобе упомянут также пункт 1 статьи 1102 ГК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Подпункт 3 статьи 1103 ГК Российской Федерации, являясь частью института неосновательного обогащения, который призван предотвратить необоснованное приобретение участниками правоотношений каких-либо имущественных благ за счет других лиц, направлен как на защиту и восстановление имущественных прав такой стороны путем устранения не имеющей правовых оснований выгоды другой стороны обязательства, так и на обеспечение стабильности гражданского оборота в целом.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«Научно-производственное объединение «Эшелон»,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