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707876-П/2023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Мартиросяна Вигена Манасеровича на нарушение его конституционных прав частью 2 статьи 3.4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В.М.Мартиросяна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В.М.Мартиросян оспаривает конституционность части 2 статьи 3.4 КоАП Российской Федерации, в соответствии с которой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 2 Как следует из представленных материалов, постановлением уполномоченного органа, оставленным без изменения арбитражными судами, заявитель признан виновным в совершении административного правонарушения, выразившегося в неприменении контрольно-кассовой техники в установленных законодательством Российской Федерации о применении контрольно-кассовой техники случаях (часть 2 статьи 14.5 КоАП Российской Федерации), и ему было назначено административное наказание в виде административного штрафа в размере сорока пяти тысяч рублей. При этом суды не усмотрели оснований для замены административного штрафа предупреждением в связи с отсутствием условий, предусмотренных оспариваемой нормой. По мнению заявителя, буквальное толкование части 2 статьи 3.4 КоАП Российской Федерации содержит специальное основание для безусловной замены административного штрафа предупреждением, однако сами условия ее применения сформулированы неопределенно, что приводит к произвольному привлечению индивидуальных предпринимателей к административной ответственности, а потому данная норма противоречит статьям 19, 34 (часть 1) и 35 (часть 1)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Мартиросяна Вигена Манасеровича,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