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1778-О/2024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Деревенских Натальи Михайловны, Макаренко Владислава Александровича и других на нарушение их конституционных прав пунктом 15 части 1 статьи 16 Федерального закона «Об общих принципах организации местного самоуправления в Российской Федерации», а также частью 3 статьи 3 и частью 2 статьи 6 Федерального закона «Об основах государственного регулирования торговой деятельности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Н.М.Деревенских, В.А.Макаренко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Н.М.Деревенских, В.А.Макаренко, Н.А.Попова и В.И.Чернов оспаривают конституционность пункта 15 части 1 статьи 16 «Вопросы местного значения муниципального, городского округа» Федерального закона от 6 октября 2003 года № 131-ФЗ «Об общих принципах организации местного самоуправления в Российской Федерации», а также части 3 статьи 3 «Правовое регулирование отношений в области торговой деятельности» и части 2 статьи 6 «Полномочия органов государственной власти субъектов Российской 2 Федерации, органов местного самоуправления в области регулирования торговой деятельности» Федерального закона от 28 декабря 2009 года № 381- ФЗ «Об основах государственного регулирования торговой деятельности в Российской Федерации». Как следует из представленных материалов, решением областного суда, с которым согласились вышестоящие суды, заявителям, являющимися индивидуальными предпринимателями, отказано в удовлетворении административного искового заявления о признании недействующей нормы абзаца третьего пункта 8.2 Положения о порядке размещения нестационарных торговых объектов на территории городского округа город Воронеж (утверждено решением Воронежской городской Думы от 25 апреля 2012 года № 790-III). Заявители просят признать оспариваемые законоположения не соответствующими Конституции Российской Федерации, поскольку они, по их мнению, предоставляют органам местного самоуправления неограниченные полномочия по регулированию отношений, связанных с размещением нестационарных торговых объектов.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Деревенских Натальи Михайловны, Макаренко Владислава Александровича и других, поскольку она не отвечает требованиям Федерального конституционного закона «О Конституционном Суде Российской Федерации», в соответствии с 4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