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«Микротех» на нарушение его конституционных прав частью 5 статьи 268 и частью 3 статьи 2911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«Микротех»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«Микротех» (далее также – ООО «Микротех») оспаривает конституционность части 5 статьи 268 «Пределы рассмотрения дела арбитражным судом апелляционной инстанции» и части 3 статьи 2911 «Порядок подачи кассационных жалобы, представления в Судебную коллегию Верховного Суда Российской Федерации» АПК Российской Федерации. Как следует из представленных материалов, вынесенным по делу, рассмотренному в порядке упрощенного производства, решением арбитражного суда, с которым согласились арбитражные суды 2 апелляционной и кассационной инстанций, частично удовлетворены исковые требования юридического лица к ООО «Микротех» о взыскании задолженности по договору и пени. По мнению заявителя, оспариваемые законоположения противоречат статьям 32 (часть 5) и 46 (часть 1) Конституции Российской Федерации, поскольку позволили арбитражному суду апелляционной инстанции проверить законность и обоснованность решения арбитражного суда только в части, тогда как в апелляционной жалобе ставился вопрос о его полной отмене, а также в той мере, в какой не предусматривают возможности обжаловать в Верховный Суд Российской Федерации судебные акты, принятые арбитражными судами в порядке упрощенного 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5 статьи 268 АПК Российской Федерации устанавливает, что в случае, если в порядке апелляционного производства обжалуется только часть решения, арбитражный суд апелляционной инстанции проверяет законность и обоснованность решения только в обжалуемой части, если при этом лица, участвующие в деле, не заявят возражений. Данная норма обеспечивает действие принципов диспозитивности и состязательности, связывающих арбитражный суд апелляционной инстанции доводами лица, подавшего соответствующую апелляционную жалобу, и позволяющих выход за пределы таких доводов исключительно в установленных законом случаях, и не предполагает возможности ее произвольного применения. Таким образом, часть 5 статьи 268 АПК Российской Федерации, рассматриваемая с учетом возможности обжалования акта арбитражного апелляционного суда в кассационном порядке, не может расцениваться в качестве нарушающей конституционные права заявителя, доводы апелляционной жалобы которого, как отметил арбитражный суд, были проверены в полном объеме.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«Микротех»,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