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работников «Екатеринбурггорпроект» на нарушение его конституционных прав статьей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работников «Екатеринбурггорпроект»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работников «Екатеринбурггорпроект» (далее – общество) оспаривает конституционность статьи 200 ГК Российской Федерации, в силу которой,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по обязательствам с определенным сроком исполнения течение срока исковой давности начинается по окончании срока исполнения; по обязательствам, срок исполнения которых не определен или определен моментом востребования, срок исковой давности начинает течь со 2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по регрессным обязательствам течение срока исковой давности начинается со дня исполнения основного обязательства. Как следует из представленных материалов, решением арбитражного суда первой инстанции, оставленным без изменения постановлением суда апелляционной инстанции, обществу отказано в иске о взыскании страхового возмещения. Определением судьи Верховного Суда Российской Федерации, с которым согласился заместитель Председателя этого суда, обществу отказано и в передаче кассационной жалобы на эти судебные постановления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По мнению общества, статья 200 ГК Российской Федерации не соответствует Конституции Российской Федерации, ее статьям 8, 34 (часть 1) и 46, поскольку по смыслу, придаваемому ей правоприменительной практикой, позволяет судам при одних и тех же фактических обстоятельствах, в деле с участием одних и тех же лиц по-разному определять начало течения срока исковой давности: с момента совершения проектной ошибки; с момента установления судом лиц, виновных в проектной ошибке; с момента наступления гражданской ответственности общества перед выгодоприобретателем вследствие причинения последнему вреда в результате осуществления обществом проектирования. Тем самым, как утверждается в жалобе, общество лишается права на судебную защиту своих интересов посредством института исковой давности.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работников «Екатеринбурггорпроект»,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