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Бесчастной Натальи Петровны на нарушение ее конституционных прав пунктом 1 статьи 11 и статьей 12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Н.П.Бесчастной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Н.П.Бесчастная, которой отказано в удовлетворении исковых требований в том числе о признании отсутствующим зарегистрированного права собственности на объект незавершенного строительства и земельный участок, оспаривает конституционность пункта 1 статьи 11 ГК Российской Федерации, согласно которому защиту нарушенных или оспоренных гражданских прав осуществляет суд, арбитражный суд или третейский суд в соответствии с их компетенцией, а также статьи 12 того же Кодекса о способах защиты гражданских прав. 2 По мнению заявительницы, оспариваемые положения не соответствуют статьям 1 (часть 1), 4 (часть 2), 15 (части 1 и 2), 17, 19 (части 1 и 2), 35 (части 1 и 3), 45, 46 (части 1 и 2), 55 (часть 3) и 126 Конституции Российской Федерации в той мере, в какой они в силу неопределенности их нормативного содержания допускают их произвольное истолкование в отношении такого способа защиты прав, как признание права отсутствующим, в том числе относительно критериев законности предъявления такого требования.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Предусматривающий судебную защиту гражданских прав пункт 1 статьи 11 ГК Российской Федерации, равно как и его статья 12, содержащая открытый перечень способов защиты гражданских прав, развивают положения Конституции Российской Федерации (статья 45; статья 46, части 1 и 2), обеспечивая защиту и восстановление нарушенных прав. В абзаце четвертом пункта 52 постановления Пленума Верховного Суда Российской Федерации и Пленума Высшего Арбитражного Суда Российской Федерации № 10/22 от 29 апреля 2010 года «О некоторых вопросах, возникающих в судебной практике при разрешении споров, связанных с защитой права собственности и других вещных прав» разъясняется, что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Бесчастной Натальи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