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3454-О/2025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Разуковой Надежды Владимировны на нарушение ее конституционных прав статьями 12 и 304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Н.В.Разуковой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Н.В.Разукова оспаривает конституционность статьи 12 «Способы защиты гражданских прав» и статьи 304 «Защита прав собственника от нарушений, не связанных с лишением владения» ГК Российской Федерации. Как следует из представленных материалов, решением суда общей юрисдикции – с учетом частичной его отмены апелляционным определением судебной коллегии по гражданским делам и принятия в отмененной части нового решения – удовлетворены исковые требования администрации округа к Н.В.Разуковой об исключении из Единого государственного реестра недвижимости сведений о местоположении 2 границ земельного участка, признании права собственности отсутствующим, снятии земельного участка с кадастрового учета, возложении обязанности привести земельный участок в первоначальное состояние. С указанными судебными актами согласились вышестоящие суды. Суды установили, что спорный земельный участок приобретен заявительницей по договору купли-продажи в 2023 году, при этом исходный земельный участок, принадлежавший первому продавцу, был сформирован на основании решения суда общей юрисдикции 2019 года, отмененного в 2022 году. Удовлетворяя исковые требования, суды исходили в том числе из того, что участок был образован на землях, находящихся в неразграниченной государственной собственности, и поставлен на кадастровый учет с нарушением действующего законодательства. По мнению заявительницы, оспариваемые нормы не соответствуют статьям 18, 35, 36, 46, 55, 751 и 123 (часть 3) Конституции Российской Федерации в той мере, в какой они по смыслу, придаваемому им правоприменительной практикой, допускают удовлетворение иска публично-правового образования о признании отсутствующим зарегистрированного за гражданином права собственности на земельный участок без оценки его добросовестности, факта владения и без соблюдения гарантий, вытекающих из статьи 302 ГК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12 ГК Российской Федерации закрепляет способы защиты гражданских прав, включая право собственности, причем перечень таких способов не является исчерпывающим. При применении этого законоположения следует иметь в виду правовые позиции Конституционного Суда Российской Федерации в том числе о том, что 3 выбор способа защиты предопределяется правовыми нормами с учетом характера нарушения и фактических обстоятельств дела, которые должны быть установлены судом при решении вопроса о том, выбран ли истцом надлежащий способ защиты прав (постановления от 6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Разуковой Надежды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