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Марины Михайловны на нарушение ее конституционных прав статьями 40117, 4121 и главой 481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М.М.Савельевой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 мая 2024 года жалоба гражданки М.М.Савельевой, поименованная ею надзорной, о пересмотре вынесенных в том числе в ее отношении приговора районного суда и последующих судебных решений расценена в качестве повторной кассационной и возвращена без рассмотрения с разъяснением, что в надзорном порядке, установленном главой 481 УПК Российской Федерации, могут быть обжалованы только судебные решения, указанные в части третьей статьи 4121 этого Кодекса. 2 В данной связи заявительница утверждает, что статьи 40117 «Недопустимость внесения повторных кассационных жалобы, представления», 4121 (также именуемая в жалобе статьей 412) «Пересмотр судебных решений в порядке надзора» и глава 481 (также названная в жалобе главой 48) «Производство в суде надзорной инстанции» УПК Российской Федерации противоречат Конституции Российской Федерации ввиду их применения и отказа в рассмотрении поданной ею надзорной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возможности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Марины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