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Дашиева Жаргала Будаевича на нарушение его конституционных прав применением статей 1153 и 1162 Гражданского кодекса Российской Федерации, пунктов 4 и 5 части 2 статьи 14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вопрос о возможности принятия жалобы гражданина Ж.Б.Дашиева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Ж.Б.Дашиев оспаривает конституционность применения следующих законоположений: статей 1153 «Способы принятия наследства» и 1162 «Свидетельство о праве на наследство» ГК Российской Федерации; пунктов 4 и 5 части 2 статьи 14 Федерального закона от 13 июля 2015 года № 218-ФЗ «О государственной регистрации недвижимости» о том, что основаниями для осуществления государственного кадастрового учета и (или) государственной регистрации прав являются свидетельства о праве на наследство и вступившие в законную силу судебные акты. 2 Из представленных материалов следует, что заявитель обратился в уполномоченный орган с заявлением о государственной регистрации права собственности на квартиру, приложив в качестве правоустанавливающего документа решение суда общей юрисдикции об установлении факта принятия им наследства в виде данного имущества, однако уведомлением государственного регистратора прав осуществление указанной регистрации было приостановлено в связи с необходимостью предоставить иной документ: либо свидетельство о праве на наследство, выданное нотариусом, либо судебный акт о признании права собственности на эту квартиру. Решением суда общей юрисдикции, с которым согласились суды вышестоящих инстанций, приостановление государственной регистрации права признано правомерным. Суды пришли к выводу, что установление судом названного юридического факта осуществлялось без исследования вопроса о круге наследников (в том числе обязательных) и не является признанием каких-либо вещных прав Ж.Б.Дашиева. По мнению заявителя, применение в его деле оспариваемых законоположений не соответствует Конституции Российской Федерации, поскольку оно препятствует осуществлению государственной регистрации права собственности, возникшего в силу закона при фактическом принятии наследства, подтвержденном судебным актом.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государственная регистрация прав на недвижимое имущество направлена на реализацию принципов публичности и достоверности сведений о правах на объекты недвижимого имущества и их правообладателях, она способствует упрочению и стабильности гражданского оборота в целом (постановления от 4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Дашиева Жаргала Будаевича,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