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Вохминцевой Юлии Ивановны на нарушение ее конституционных прав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Ю.И.Вохминцевой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Ю.И.Вохминцева оспаривает конституционность части второй статьи 135 Трудового кодекса Российской Федерации,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2 По мнению заявительницы, оспариваемое положение не соответствует Конституции Российской Федерации, в том числе ее статьям 1 (часть 1), 2, 7 (часть 1), 37 (часть 3) и 46 (часть 1), поскольку по смыслу, придаваемому правоприменительной практикой, позволяет судам делать вывод о том, что премия выплачивается исключительно по усмотрению работодателя, что ограничивает право работника на справедливое вознаграждение за труд без какой-либо дискриминации.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Вохминцевой Юлии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