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Кочубея Алексея Николаевича на нарушение его конституционных прав статьями 345, 347, 350 и 351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А.Н.Кочубея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А.Н.Кочубей оспаривает конституционность положений статей 345 «Суды, пересматривающие судебные акты по новым или вновь открывшимся обстоятельствам», 347 «Форма и содержание заявления, представления о пересмотре судебного акта по новым или вновь открывшимся обстоятельствам и прилагаемые к ним документы», 350 «Основания для пересмотра судебных актов по новым или вновь открывшимся обстоятельствам» и 351 «Судебные акты, принимаемые судом по результатам рассмотрения заявления, представления о пересмотре судебного акта по новым или вновь открывшимся обстоятельствам» КАС Российской Федерации. 2 Как следует из представленных материалов, определением судьи Верховного Суда Российской Федерации от 29 сентября 2023 года А.Н.Кочубею было возвращено его заявление о пересмотре определения судьи Верховного Суда Российской Федерации от 20 сентября 2022 года (об отказе в принятии административного искового заявления) по новым обстоятельствам в связи с тем, что Определение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Кочубея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