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Шеиной Дианы Леонидовны на нарушение ее конституционных прав частью 3 статьи 1 Жилищного кодекса Российской Федерации и статьей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Д.Л.Шеиной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Д.Л.Шеина оспаривает конституционность части 3 статьи 1 «Основные начала жилищного законодательства» Жилищного кодекса Российской Федерации и статьи 39014 ГПК Российской Федерации, согласно которой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интересов. 2 Как следует из представленных материалов, решением суда, с которым согласились суды вышестоящих инстанций, отказано в удовлетворении иска Д.Л.Шеиной к органу местного самоуправления и муниципальному казенному учреждению о признании права собственности в порядке приватизации. По мнению заявительницы, часть 3 статьи 1 Жилищного кодекса Российской Федерации препятствует приватизации жилого помещения гражданином, реализовавшим свое право на приватизацию другого жилого помещения, расположенного на территории Республики Крым до ее вхождения в состав Российской Федерации, а статья 39014 ГПК Российской Федерации нарушает право на защиту лица, в деле которого суды допустили нарушения, не являющиеся существенными. В связи с этим Д.Л.Шеина полагает, что эти нормы противоречат статьям 35 и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3 статьи 1 Жилищного кодекса Российской Федерации, закрепляющая основные начала жилищного законодательства и предусматривающая, что жилищные права могут быть ограничены на основании федерального закона и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государства, принята в развитие статьи 55 (часть 3) Конституции Российской Федерации и не может расцениваться в качестве нарушающей конституционные права заявительницы в указанном в жалобе аспекте. Кроме того, данная норма – как норма общего действия – сама по себе не являлась основанием отказа в признании права заявительницы на приватизацию жилого помещения. Что касается статьи 39014 ГПК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Шеиной Дианы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