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3100-О/2023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Мошкова Михаила Игоревича на нарушение его конституционных прав положениями статей 218, 222 и 234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М.И.Мошкова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М.И.Мошков оспаривает конституционность пунктов 1 и 4 статьи 218 «Основания приобретения права собственности», пунктов 1 и 2 статьи 222 «Самовольная постройка» и пункта 1 статьи 234 «Приобретательная давность» ГК Российской Федерации. Как следует из представленных материалов, заявитель обратился в суд общей юрисдикции с исковым требованием о признании права собственности на лодочный гараж и земельный участок, ссылаясь, помимо прочего, на выкуп в 1992 году пая у одного из членов кооператива, созданного в целях строительства гаражей для моторных лодок и 2 впоследствии ликвидированного. Апелляционным определением, с которым согласились суды кассационной инстанции, в удовлетворении данного требования отказано. Суды указали, что спорный объект был создан, согласно пояснениям истца, в интересах всех членов кооператива в качестве мастерской по ремонту моторных лодок; исходя из технической документации и заключения эксперта данное строение в 2014 году фактически являлось жилым домом, пострадавшим после пожара, проживание в котором невозможно, а в 2020 году (после его реконструкции) идентифицировано как лодочный гараж. Также суды пришли к выводу об отсутствии в деле доказательств, подтверждающих нахождение спорного объекта в непрерывном владении М.И.Мошкова более 15 лет, а также возведение этого объекта на земельном участке, выделенном кооперативу. По мнению заявителя, оспариваемые законоположения не соответствуют Конституции Российской Федерации, ее статьям 1, 2, 6, 7, 15 17–19, 21, 35, 40, 45, 46 и 55, поскольку они позволяют судам лишать граждан – бывших членов кооператива возникшего на основании внесения ими в полном объеме паевых взносов права собственности на нежилые здания, в которых расположены лодочные гаражи.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234 ГК Российской Федерации, подлежащий применению в нормативном единстве с другими положениями этой статьи, направлен на защиту интересов лиц, не являющихся собственниками имущества, но добросовестно, открыто и непрерывно владеющих им как своим собственным, а также на реализацию прав, гарантированных статьей 35 (часть 2) Конституции Российской Федерации (определения Конституционного Суда Российской Федерации от 30 марта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Мошкова Михаила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