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630491-П/2022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Сахно Евгения Александровича на нарушение его конституционных прав статьей 119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А.Ю.Бушева,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Е.А.Сахно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Е.А.Сахно оспаривает конституционность статьи 119 Семейного кодекса Российской Федерации, а фактически – ее пункта 1, предусматривающего, что,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2 Как следует из представленных материалов, решением суда общей юрисдикции, оставленным без изменения определением суда апелляционной инстанции, Е.А.Сахно отказано в удовлетворении требования, направленного на изменение размера алиментов на несовершеннолетнего ребенка с 0,5 на 0,25 величины прожиточного минимума для детей. Оставляя без изменения упомянутые судебные постановления, суд кассационной инстанции отметил, что наличие у истца второго ребенка, которого он обязан содержать, не может ограничить право первого ребенка на получение необходимого и достойного содержания и не является безусловным основанием для уменьшения размера алиментов. В передаче кассационной жалобы на судебные постановления нижестоящих судов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2, 19, 38 и 55 Конституции Российской Федерации в той мере, в какой по смыслу, придаваемому ему правоприменительной практикой, в том числе в контексте разъяснений, содержавшихся в пункте 14 постановления Пленума Верховного Суда Российской Федерации от 25 октября 1996 года № 9 «О применении судами Семейного кодекса Российской Федерации при рассмотрении дел об установлении отцовства и о взыскании алиментов», оно предполагает уменьшение размера алиментов с учетом материального и семейного положения сторон и других заслуживающих внимания обстоятельств или интересов сторон (названное постановление признано утратившим силу в связи с принятием постановления Пленума Верховного Суда Российской Федерации от 26 декабря 2017 года № 56 «О применении судами законодательства при рассмотрении дел, связанных со взысканием алиментов», на пункт 57 которого, среди прочего, сослались суды в деле с участием заявителя). Кроме того, Е.А.Сахно просит отменить принятые по делу с его участием судебные постановления.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119 Семейного кодекса Российской Федерации в истолковании, придаваемом ему правоприменительной практикой, предполагает, что изменение материального или семейного положения родителя, уплачивающего алименты на несовершеннолетнего ребенка, не является безусловным основанием для удовлетворения его иска о снижении размера алиментов, поскольку необходимо установить, что такие изменения не позволяют ему поддерживать выплату алиментов в прежнем размере (абзац второй пункта 57 постановления Пленума Верховного Суда Российской Федерации «О применении судами законодательства при рассмотрении дел, связанных со взысканием алиментов»).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Сахно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