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Максименко Елены Юрьевны на нарушение ее конституционных прав частью первой статьи 43 и частью четвертой статьи 3905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Е.Ю.Максименко оспаривает конституционность части первой статьи 43 «Третьи лица, не заявляющие самостоятельных требований относительно предмета спора» и части четвертой статьи 3905 «Форма и содержание кассационных жалобы, представления» ГПК Российской Федерации. Как следует из представленных материалов, письмом сотрудника аппарата Верховного Суда Российской Федерации кассационная жалоба Е.Ю.Максименко была возвращена без рассмотрения по существу в связи с тем, что к ней не приложены заверенные соответствующим судом копии 2 обжалуемых судебных постановлений, а также кассационная жалоба на принятые по делу с ее участием судебные постановления, возвращенная заявительнице кассационным судом общей юрисдикции. По мнению Е.Ю.Максименко, оспариваемые законоположения не соответствуют статье 46 (часть 1) Конституции Российской Федерации, поскольку позволяют законному представителю ответчика участвовать в деле в качестве третьего лица, не заявляющего самостоятельных требований, а также возвращать кассационную жалобу в случае, если к ней не приложены материалы, не имеющие отношения к предмету обжалования.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Максименко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