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Босько Дмитрия Дмитриевича на нарушение его конституционных прав пунктом 4 статьи 113 и пунктом 2 статьи 114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Д.Д.Босько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Д.Д.Босько оспаривает конституционность пункта 4 статьи 113 «Определение задолженности по алиментам» и пункта 2 статьи 114 «Освобождение от уплаты задолженности по алиментам и (или) задолженности по уплате неустойки за несвоевременную уплату алиментов»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освобождении Д.Д.Босько от уплаты задолженности по алиментам на несовершеннолетних детей. Суд первой инстанции указал, что заявителем не доказано наличие уважительных причин, в связи с 2 которыми имела место неуплата алиментов, и отсутствие у него возможности погасить образовавшуюся задолженность.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нормы противоречат статьям 2, 15 (части 1 и 2), 17–19, 45, 46 (часть 1) и 55 (части 2 и 3) Конституции Российской Федерации, поскольку они позволяют не рассматривать обстоятельства, не зависящие от воли гражданина, в качестве уважительных причин неуплаты алиментов и ставят должников по алиментным обязательствам, отбывающих наказание в виде лишения свободы, в неравное положение с иными плательщиками алиментов.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Босько Дмитрия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