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«Строймеханизация-900» на нарушение его конституционных прав пунктом 3.3.2 раздела 3.3 Правил землепользования и застройки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«Строймеханизация-900»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«Строймеханизация-900» (далее также – общество) оспаривает конституционность пункта 3.3.2 раздела 3.3 Правил землепользования и застройки города Москвы, утвержденных постановлением Правительства Москвы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«Строймеханизация-900»,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