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частью второй статьи 208 Гражданского процессуального кодекса Российской Федерации и частью девятой статьи 136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части второй статьи 208 «Индексация присужденных денежных сумм» ГПК Российской Федерации и части девятой статьи 136 «Порядок, место и сроки выплаты заработной платы» Трудового кодекса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частично удовлетворено заявление И.А.Сысоева об индексации в порядке, предусмотренном статьей 208 ГПК Российской Федерации, денежных сумм (недополученные суммы, причитавшиеся в счет оплаты отпуска, 2 компенсация за задержку выплаты начисленных сумм и компенсация морального вреда), взысканных судом в его пользу с работодателя. Индексация была произведена судом за период с момента вынесения соответствующего судебного постановления и до его реального исполнения.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И.А.Сысоева, оспариваемые законоположения во взаимосвязи по смыслу, придаваемому им правоприменительной практикой, противоречат Конституции Российской Федерации, ее статьям 2, 15, 17–19, 37, 45, 46, 47 (часть 1), 55 и 751, поскольку позволяют суду установить в качестве начала периода, за который проводится индексация, дату вынесения решения суда о присуждении денежных средств, не учитывая при этом норм Трудового кодекса Российской Федерации, регламентирующих срок оплаты отпуска.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