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Штукина Льва Михайловича на нарушение его конституционных прав частью 2 статьи 12.27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Л.М.Штукина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Л.М.Штукин оспаривает конституционность части 2 статьи 12.27 КоАП Российской Федерации, в соответствии с которой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влечет лишение права управления транспортными средствами на срок от одного года до полутора лет или административный арест на срок до пятнадцати суток. Как следует из представленных материалов, постановлением мирового судьи, оставленным без изменения судами вышестоящих инстанций, заявитель 2 был привлечен к административной ответственности за административное правонарушение, предусмотренное оспариваемой нормой, и ему было назначено административное наказание в виде лишения права управления транспортными средствами на срок один год. Заявитель, выражая несогласие с судебными актами и требуя их отмены, полагает, что оспариваемая норма позволяет произвольно привлекать водителей к административной ответственности, а потому противоречит статьям 21 (часть 1), 32 (часть 5), 45 (часть 2), 46 (часть 1), 47 (часть 1), 49 и 50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 в своих решениях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Штукина Льва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