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Фомина Павла Борисовича на нарушение его конституционных прав статьей 301 и пунктом 1 статьи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П.Б.Фомина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П.Б.Фомин оспаривает конституционность следующих положений Гражданского кодекса Российской Федерации: статьи 301, предусматривающей, что собственник вправе истребовать свое имущество из чужого незаконного владения; пункта 1 статьи 302, устанавливающего, что 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 2 Как следует из представленных материалов, определением суда апелляционной инстанции частично отменено решение суда общей юрисдикции и принято в этой части новое решение, которым, среди прочего, по требованию гражданки А. признаны недействительными кредитный договор и договор об ипотеке жилого помещения, заключенные ею с банком, а также публичные торги, путем продажи с которых реализован предмет залога, и договор купли-продажи жилого помещения, заключенный с гражданкой Т. как с лицом, выигравшим торги; жилое помещение истребовано от П.Б.Фомина – покупателя по договору с Т. Одновременно с Т. в пользу заявителя взысканы денежные средства, уплаченные по договору купли-продажи. Суд апелляционной инстанции исходил, в частности, из того, что жилое помещение (квартира) выбыло из владения А. помимо ее воли, поскольку в момент заключения договоров с банком она не могла понимать значения своих действий и руководить ими, а соответственно, добросовестность последующих приобретателей данного имущества, в том числе самого заявителя, не имеет значения, и оно в любом случае подлежит возврату собственнику. Кроме того, суд подчеркнул, что Т. в момент заключения договора купли-продажи с заявителем не могла не знать о споре в отношении имущества. В передаче кассационной жалобы П.Б.Фомина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П.Б.Фомина, оспариваемые положения не соответствуют статьям 19 (часть 1), 35 (части 1 и 2), 40 (часть 1) и 46 (часть 1) Конституции Российской Федерации в той мере, в какой по смыслу, придаваемому им правоприменительной практикой, они являются основанием для истребования от приобретателя жилого помещения при процессуальном бездействии первоначального собственника по защите своего права собственности, находившегося в стадии судебного разбирательства по иску о признании кредитного договора и договора об ипотеке недействительными и скрывшего 3 информацию об основаниях признания сделки недействительной, а также допускают неопределенность в отношении статуса добросовестного приобретателя.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Фомина Павла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