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«Аэропорт Якутск» на нарушение его конституционных прав пунктами 1 и 2 статьи 95 Воздушного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«Аэропорт Якутск»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«Аэропорт Якутск» (далее – АО «Аэропорт Якутск») оспаривает конституционность положений статьи 95 Воздушного кодекса Российской Федерации, в соответствии с которыми авиационное происшествие или инцидент с гражданским, государственным или экспериментальным воздушным судном Российской Федерации либо с воздушным судном иностранного государства на территории Российской Федерации, а также с используемым в целях гражданской авиации воздушным судном, не зарегистрированным в порядке, установленном статьей 33 данного Кодекса, подлежат обязательному расследованию (пункт 1); целями расследования авиационного происшествия или инцидента являются установление причин авиационного происшествия или инцидента и 2 принятие мер по их предотвращению в будущем; установление чьей-либо вины и ответственности не является целью расследования авиационного происшествия или инцидента (пункт 2). Как следует из представленных материалов, вступившими в законную силу актами арбитражных судов частично удовлетворены требования страховой организации о взыскании в порядке суброгации с АО «Аэропорт Якутск» ущерба, причиненного воздушному судну. При этом суды, приняв во внимание отчет Межгосударственного авиационного комитета, исходили из доказанности факта нарушения АО «Аэропорт Якутск» договорных обязательств по обеспечению безопасного взлета и посадки, что привело к авиационному происшествию и причинению подлежащего возмещению вреда. По мнению АО «Аэропорт Якутск», оспариваемые законоположения противоречат статьям 15 (части 1 и 2), 19 (части 1 и 2), 46 (часть 1), 751 и 123 (часть 3) Конституции Российской Федерации, поскольку предполагают возможность возложения вины и установление гражданской ответственности за авиационное происшествие на основании отчетов расследования авиационных происшествий или инцидентов уполномоченного органа.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«Аэропорт Якутск»,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