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3489-О/2023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Сафронова Андрея Васильевича на нарушение его конституционных прав статьями 304 и 338 Гражданского кодекса Российской Федерации, а также статьей 37 Федерального закона «Об ипотеке (залоге недвижимости)»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А.В.Сафронова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А.В.Сафронов оспаривает конституционность статей 304 «Защита прав собственника от нарушений, не связанных с лишением владения» и 338 «Владение предметом залога» ГК Российской Федерации, а также статьи 37 «Отчуждение заложенного имущества» Федерального закона от 16 июля 1998 года № 102-ФЗ «Об ипотеке (залоге недвижимости)». Как следует из представленных материалов, в деле о банкротстве гражданки Б. определением арбитражного суда, оставленным без изменения постановлением суда апелляционной инстанции, по заявлению Б. указано на 2 обязанность финансового управляющего – А.В.Сафронова устранить препятствия во владении и пользовании жилым домом и земельными участками, заложенными по договору с гражданкой М. В передаче кассационной жалобы А.В.Сафронова на акты судов первой и апелляционной инстанций и постановление суда кассационной инстанции, которым они оставлены без изменения, для рассмотрения в судебном заседании Судебной коллегии по экономическим спорам Верховного Суда Российской Федерации было отказано. По мнению заявителя, оспариваемые нормы противоречат Конституции Российской Федерации, в частности ее статье 23 (часть 1), поскольку они препятствуют обеспечению сохранности имущества залоговым кредитором, позволяют вменить финансовому управляющему нарушение права должника на достойную жизнь, выступают основанием для возмещения им убытков и установления правонарушения, а также наносят ущерб профессиональной деятельности арбитражных управляющих. Кроме того, А.В.Сафронов утверждает, что в споре должен был быть применен пункт 4 статьи 138 Федерального закона от 26 октября 2002 года № 127-ФЗ «О несостоятельности (банкротстве)», в силу которого порядок и условия обеспечения сохранности предмета залога определяет залоговый кредитор. Заявитель также указывает, что оспариваемые нормы нарушают конституционные права 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304 ГК Российской Федерации призвана устранить нарушения прав собственника или иного владельца, не связанные с лишением владения, и служит защите прав и законных интересов граждан и реализации предписаний статей 17 (часть 3), 35 и 46 Конституции Российской Федерации (определения Конституционного Суда Российской Федерации от 7 июля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Сафронова Андрея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