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Штуля Даниила Игоревича на нарушение его конституционных прав частью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рассмотрев вопрос о возможности принятия жалобы гражданина Д.И.Штуля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Д.И.Штуль оспаривает конституционность части третьей статьи 3907 ГПК Российской Федерации, согласно которой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Предусмотренная частью третьей статьи 3907 ГПК Российской Федерации возможность обращения к Председателю Верховного Суда Российской Федерации, его заместителю с просьбой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расширяет процессуальные возможности лиц, участвующих в деле, по кассационному обжалованию судебных постановлений в целях устранения существенных нарушений норм 3 права и выступает тем самым дополнительной гарантией реализации их права на судебную защиту. При этом – учитывая, что из названного конституционного права не вытекает возможность выбора гражданами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законом, – оспариваемое законоположение в равной степени наделяет соответствующим полномочием как Председателя Верховного Суда Российской Федерации, так и его заместителя. Таким образом, часть третья статьи 3907 ГПК Российской Федерации не может рассматриваться в качестве нарушающей конституционное право заявителя, гарантированное статей 47 (часть 1) Конституции Российской Федерации, чья кассационная жалоба, поданная в установленном оспариваемой нормой порядке, была рассмотрена, как следует из представленных материалов, указанным в ней должностным лицом. Письмо же судьи Верховного Суда Российской Федерации, содержащее сведения о том, что ранее поданные Д.И.Штулем кассационные жалобы были рассмотрены в соответствии с требованиями процессуального законодательства, не свидетельствует, вопреки доводам заявителя, о рассмотрении этим судьей каких-либо его кассационных жалоб. Оценка же правильности разрешения вопросов о возможности рассмотрения в Верховном Суде Российской Федерации кассационных жалоб заявителя либо о наличии оснований для их возвращения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4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Штуля Даниила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