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Ферзилова Гаджиали Джюмялиевича на нарушение его конституционных прав статьями 28 и 29 Федерального закона «О рынке ценных бумаг»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Г.Д.Ферзилова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Г.Д.Ферзилов оспаривает конституционность статей 28 «Форма удостоверения права собственности на эмиссионные ценные бумаги» и 29 «Переход прав на ценные бумаги» Федерального закона от 22 апреля 1996 года № 39-ФЗ «О рынке ценных бумаг», а фактически – примененные судами в конкретном деле с его участием положения части второй статьи 28 и абзаца третьего части второй статьи 29 (в редакции, действовавшей до внесения изменений Федеральным законом от 27 декабря 2018 года № 514-ФЗ). 2 Из представленных материалов следует, что решением арбитражного суда, оставленным в силе постановлением суда кассационной инстанции, отказано в удовлетворении исковых требований Г.Д.Ферзилова к гражданину А. о признании права на акции, находящиеся на счету ответчика, возложении обязанности на А. направить регистратору анкету зарегистрированного лица по установленной форме, возложении обязанности на регистратора зарегистрировать переход прав на акции; также отказано в удовлетворении встречных исковых требований гражданина А. к Г.Д.Ферзилову о признании незаключенным договора купли-продажи акций. Определением судьи Верховного Суда Российской Федерации от 7 июля 2023 года отказано в передаче кассационной жалобы заявителя для рассмотрения в судебном заседании Судебной коллегии по экономическим спорам данного суда. По мнению заявителя, оспариваемые положения не соответствуют статьям 34 (часть 1) и 35 (части 2 и 3) Конституции Российской Федерации в той мере, в какой по смыслу, придаваемому им правоприменительной практикой, ставят в зависимость от подзаконных актов решение вопроса о праве на приобретенные по сделке эмиссионные ценные бумаги и, соответственно, лишают добросовестного приобретателя ценных бумаг возможности участвовать в управлении акционерным обществом, в том числе требовать созыва внеочередного собрания акционеров, голосовать на общем собрании акционеров, иметь доступ к бухгалтерской отчетности общества, предъявлять претензии к исполнительному органу общества и т.д.</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Находящиеся в системе действующего правового регулирования эмиссионных ценных бумаг – когда владелец устанавливается на основании записи на лицевых счетах в реестре, ведение которого осуществляется регистратором, или в случае учета прав на эмиссионные ценные бумаги в депозитарии записями по счетам депо в депозитариях – положения статьи 28 3 Федерального закона «О рынке ценных бумаг», а также правила его статьи 29 – в части, регламентирующей момент перехода права на эмиссионную ценную бумагу (как в прежней, так и в текущей редакции), – направлены на конкретизацию этого регулирования и обеспечение определенности правоотношений, возникающих по поводу обращения эмиссионных ценных бумаг. Данные законоположения, не регулируя непосредственно процесса регистрации прав владельцев эмиссионных ценных бумаг, сами по себе не ограничивают имущественных прав владельцев таких бумаг, а потому не могут расцениваться как нарушающие в указанном в жалобе аспекте конституционные права заявителя. При этом допустимость осуществления правового регулирования отношений, составляющих предмет ведения Российской Федерации (статья 71 Конституции Российской Федерации), актами подзаконного уровня была подтверждена Конституционным Судом Российской Федерации в Постановлении от 9 января 1998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Ферзилова Гаджиали Джюмялиевича,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