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Брижатой Алены Михайловны на нарушение ее конституционных прав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А.М.Брижатой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с которым согласились суды вышестоящих инстанций, в отношении гражданки А.М.Брижатой была завершена процедура реализации имущества гражданина, она не освобождена от исполнения обязательств перед Российской Федерацией по требованиям, предъявленным уполномоченным органом. При этом суды исходили, в частности, из того, что эти требования являются ущербом, причиненным преступлением, совершенным должником, размер и наличие которого подтверждены вступившими в законную силу судебными актами. 2 А.М.Брижатая оспаривает конституционность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заявительницы, содержащиеся в нем положения противоречат Конституции Российской Федерации, в том числе ее статьям 18 и 19 (часть 1), в той мере, в какой по смыслу, придаваемому им правоприменительной практикой, не допускают возможности освобождения гражданина от обязательств.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Брижатой Алены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