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«Интер-Энерго-Траст» на нарушение его конституционных прав статьей 19 и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«Интер-Энерго-Траст»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хозяйственного общества определением арбитражного суда, с которым согласились суды вышестоящих инстанций, признаны недействительными договор уступки права и дополнительное соглашение к нему, заключенные между должником и ООО «Интер-Энерго-Траст», применены последствия недействительности сделки. При этом суды исходили в том числе из доказанности совокупности условий, необходимых для признания оспариваемых сделок недействительными, установили причинение вреда имущественным правам кредиторов, а также наличие аффилированности и 2 заинтересованности в отношениях между сторонами сделок. Кроме того, суды указали на обстоятельства, исключающие возможность признания оспариваемых сделок как совершенных в рамках обычной хозяйственной деятельности. ООО «Интер-Энерго-Траст» оспаривает конституционность статьи 19 «Заинтересованные лица» и пункта 2 статьи 612 «Оспаривание подозрительных сделок должника»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19, 34 (часть 1), 35 (часть 2) и 55 (часть 3) Конституции Российской Федерации в той мере, в какой они по смыслу, придаваемому им сложившейся правоприменительной практикой, допускают произвольное признание сделки должника недействительной по мотиву заинтересованности в ее совершении, если по обстоятельствам дела имелось встречное исполнение обязательства перед должником и существовали обстоятельства, свидетельствующие об экономической обоснованности совершенной сделки и ее направленности на обеспечение основного вида экономической деятельности кредитора, совершившего оспариваемую сделку с должником.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«Интер-Энерго-Траст»,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