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«Юг-Новый Век» на нарушение его конституционных прав частью 1 статьи 183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«Юг-Новый Век»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от 24 февраля 2022 года, оставленным без изменения судами апелляционной и кассационной инстанций, удовлетворено заявление юридического лица об индексации денежных сумм, присужденных ему ранее с общества с ограниченной ответственностью «Юг-Новый Век» и выплаченных последним 15 января 2021 года. При этом суд согласился с суммой индексации, рассчитанной взыскателем в соответствии с Постановлением Конституционного Суда Российской Федерации от 22 июля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«Юг-Новый Век»,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