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Рачинского Алексея Валентиновича на нарушение его конституционных прав пунктом 1 статьи 3931 Гражданского кодекса Российской Федерации, частью 6 статьи 112 и частью 1 статьи 3792 Гражданского процессуального кодекса Российской Федерации, а также частью шестой статьи 10 Федерального закона «Об основах туристской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А.В.Рачинского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А.В.Рачинский оспаривает конституционность пункта 1 статьи 3931 «Возмещение убытков при прекращении договора» ГК Российской Федерации, части 6 статьи 112 «Восстановление процессуальных сроков» и части 1 статьи 3792 «Обжалование определений суда кассационной инстанции об оставлении кассационных жалобы, представления без движения и о возвращении кассационных жалобы, представления» ГПК Российской Федерации, а также части шестой (в жалобе ошибочно названной 2 абзацем 17) статьи 10 Федерального закона от 24 ноября 1996 года № 132-ФЗ «Об основах туристской деятельности в Российской Федерации», закрепляющей право каждой из сторон договора о реализации туристского продукта потребовать его изменения или расторжения в связи с существенным изменением обстоятельств, из которых исходили стороны при заключении договора. Как следует из представленных материалов, решением суда общей юрисдикции, с которым согласился суд апелляционной инстанции, в удовлетворении требований заявителя о взыскании убытков, процентов, компенсации морального вреда, неустойки, штрафа, почтовых расходов, мотивированных односторонним аннулированием туроператором заявки на бронирование тура, отказано. По мнению А.В.Рачинского, пункт 1 статьи 3931 ГК Российской Федерации, а также часть шестая статьи 10 Федерального закона «Об основах туристской деятельности в Российской Федерации» возлагают на потребителя все риски, связанные с оказанием транспортных услуг субъектом предпринимательской деятельности, и противоречат природе публичного договора, не допускающего односторонний отказ исполнителя от такого договора; часть 6 статьи 112 и часть 1 статьи 3792 ГПК Российской Федерации препятствуют реализации права на обжалование судебных актов и восстановление пропущенного срока на подачу кассационной жалобы. В связи с этим заявитель полагает, что они противоречат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Конституционного Суда Российской Федерации от 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Рачинского Алексея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