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«Экотехпром» на нарушение его конституционных прав подпунктом 6 пункта 1 статьи 1393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«Экотехпром»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«Экотехпром» (далее – ООО «Экотехпром») оспаривает конституционность подпункта 6 пункта 1 статьи 1393 Налогового кодекса Российской Федерации, в соответствии с которым вышестоящий налоговый орган оставляет без рассмотрения жалобу налогоплательщика полностью или в части, если установит, что до принятия решения по жалобе налоговый спор о том же предмете и по тем же основаниям был разрешен судом. Как следует из представленных материалов, актами арбитражных судов ООО «Экотехпром» отказано в признании недействительным решения 2 Федеральной налоговой службы от 16 декабря 2021 года, оставившего без рассмотрения его жалобу на решение Управления Федеральной налоговой службы по городу Москве, принятое по жалобе заявителя на решение налоговой инспекции, в связи с разрешением налогового спора о том же предмете и по тем же основаниям судом. Суды установили, что 15 декабря 2021 года была оглашена резолютивная часть решения Арбитражного суда города Москвы, которым заявителю отказано в признании недействительным решения Управления Федеральной налоговой службы по городу Москве, при этом данное решение суда было оставлено постановлением суда апелляционной инстанции без изменений и вступило в законную силу 31 марта 2022 года. Суды также указали, что заявленное ООО «Экотехпром» требование к Федеральной налоговой службе, по существу, направлено на преодоление вступившего в законную силу судебного акта, состоявшегося не в его пользу. По мнению заявителя, оспариваемое законоположение противоречит статьям 45, 46 и 49 Конституции Российской Федерации, поскольку по смыслу, придаваемому ему правоприменительной практикой, позволяет Федеральной налоговой службе оставлять без рассмотрения жалобу налогоплательщика после оглашения резолютивной части решения суда по налоговому спору о том же предмете и по тем же основаниям, т.е. до изготовления решения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«Экотехпром»,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